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15765"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 xml:space="preserve">e) must be summarized orally, including an explanation of any known actual or estimated expenditures approved at the meeting, and documented in the minutes of the next regular or special board meeting. </w:t>
      </w:r>
      <w:r>
        <w:rPr>
          <w:rFonts w:ascii="Helvetica" w:hAnsi="Helvetica" w:cs="Helvetica"/>
          <w:color w:val="666666"/>
          <w:sz w:val="24"/>
          <w:szCs w:val="24"/>
        </w:rPr>
        <w:t> </w:t>
      </w:r>
      <w:r>
        <w:rPr>
          <w:rFonts w:ascii="Helvetica" w:hAnsi="Helvetica" w:cs="Helvetica"/>
          <w:color w:val="666666"/>
          <w:sz w:val="24"/>
          <w:szCs w:val="24"/>
        </w:rPr>
        <w:t>The board may not, unless done in an open meeting for which prior notice was given to owners under Subsection (e), consider or vote on:</w:t>
      </w:r>
    </w:p>
    <w:p w14:paraId="4472816D"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w:t>
      </w:r>
      <w:r>
        <w:rPr>
          <w:rFonts w:ascii="Helvetica" w:hAnsi="Helvetica" w:cs="Helvetica"/>
          <w:color w:val="666666"/>
          <w:sz w:val="24"/>
          <w:szCs w:val="24"/>
        </w:rPr>
        <w:t> </w:t>
      </w:r>
      <w:r>
        <w:rPr>
          <w:rFonts w:ascii="Helvetica" w:hAnsi="Helvetica" w:cs="Helvetica"/>
          <w:color w:val="666666"/>
          <w:sz w:val="24"/>
          <w:szCs w:val="24"/>
        </w:rPr>
        <w:t>fines;</w:t>
      </w:r>
    </w:p>
    <w:p w14:paraId="77DC143A"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(2)</w:t>
      </w:r>
      <w:r>
        <w:rPr>
          <w:rFonts w:ascii="Helvetica" w:hAnsi="Helvetica" w:cs="Helvetica"/>
          <w:color w:val="666666"/>
          <w:sz w:val="24"/>
          <w:szCs w:val="24"/>
        </w:rPr>
        <w:t> </w:t>
      </w:r>
      <w:r>
        <w:rPr>
          <w:rFonts w:ascii="Helvetica" w:hAnsi="Helvetica" w:cs="Helvetica"/>
          <w:color w:val="666666"/>
          <w:sz w:val="24"/>
          <w:szCs w:val="24"/>
        </w:rPr>
        <w:t>damage assessments;</w:t>
      </w:r>
    </w:p>
    <w:p w14:paraId="5100E8E9"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(3)</w:t>
      </w:r>
      <w:r>
        <w:rPr>
          <w:rFonts w:ascii="Helvetica" w:hAnsi="Helvetica" w:cs="Helvetica"/>
          <w:color w:val="666666"/>
          <w:sz w:val="24"/>
          <w:szCs w:val="24"/>
        </w:rPr>
        <w:t> </w:t>
      </w:r>
      <w:r>
        <w:rPr>
          <w:rFonts w:ascii="Helvetica" w:hAnsi="Helvetica" w:cs="Helvetica"/>
          <w:color w:val="666666"/>
          <w:sz w:val="24"/>
          <w:szCs w:val="24"/>
        </w:rPr>
        <w:t>initiation of foreclosure actions;</w:t>
      </w:r>
    </w:p>
    <w:p w14:paraId="2AF40597"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(4)</w:t>
      </w:r>
      <w:r>
        <w:rPr>
          <w:rFonts w:ascii="Helvetica" w:hAnsi="Helvetica" w:cs="Helvetica"/>
          <w:color w:val="666666"/>
          <w:sz w:val="24"/>
          <w:szCs w:val="24"/>
        </w:rPr>
        <w:t> </w:t>
      </w:r>
      <w:r>
        <w:rPr>
          <w:rFonts w:ascii="Helvetica" w:hAnsi="Helvetica" w:cs="Helvetica"/>
          <w:color w:val="666666"/>
          <w:sz w:val="24"/>
          <w:szCs w:val="24"/>
        </w:rPr>
        <w:t>initiation of enforcement actions, excluding temporary restraining orders or violations involving a threat to health or safety;</w:t>
      </w:r>
    </w:p>
    <w:p w14:paraId="6E874E9D"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(5)</w:t>
      </w:r>
      <w:r>
        <w:rPr>
          <w:rFonts w:ascii="Helvetica" w:hAnsi="Helvetica" w:cs="Helvetica"/>
          <w:color w:val="666666"/>
          <w:sz w:val="24"/>
          <w:szCs w:val="24"/>
        </w:rPr>
        <w:t> </w:t>
      </w:r>
      <w:r>
        <w:rPr>
          <w:rFonts w:ascii="Helvetica" w:hAnsi="Helvetica" w:cs="Helvetica"/>
          <w:color w:val="666666"/>
          <w:sz w:val="24"/>
          <w:szCs w:val="24"/>
        </w:rPr>
        <w:t>increases in assessments;</w:t>
      </w:r>
    </w:p>
    <w:p w14:paraId="57DFD84B"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(6)</w:t>
      </w:r>
      <w:r>
        <w:rPr>
          <w:rFonts w:ascii="Helvetica" w:hAnsi="Helvetica" w:cs="Helvetica"/>
          <w:color w:val="666666"/>
          <w:sz w:val="24"/>
          <w:szCs w:val="24"/>
        </w:rPr>
        <w:t> </w:t>
      </w:r>
      <w:r>
        <w:rPr>
          <w:rFonts w:ascii="Helvetica" w:hAnsi="Helvetica" w:cs="Helvetica"/>
          <w:color w:val="666666"/>
          <w:sz w:val="24"/>
          <w:szCs w:val="24"/>
        </w:rPr>
        <w:t>levying of special assessments;</w:t>
      </w:r>
    </w:p>
    <w:p w14:paraId="41798771"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(7)</w:t>
      </w:r>
      <w:r>
        <w:rPr>
          <w:rFonts w:ascii="Helvetica" w:hAnsi="Helvetica" w:cs="Helvetica"/>
          <w:color w:val="666666"/>
          <w:sz w:val="24"/>
          <w:szCs w:val="24"/>
        </w:rPr>
        <w:t> </w:t>
      </w:r>
      <w:r>
        <w:rPr>
          <w:rFonts w:ascii="Helvetica" w:hAnsi="Helvetica" w:cs="Helvetica"/>
          <w:color w:val="666666"/>
          <w:sz w:val="24"/>
          <w:szCs w:val="24"/>
        </w:rPr>
        <w:t>appeals from a denial of architectural control approval;</w:t>
      </w:r>
    </w:p>
    <w:p w14:paraId="6E4DDDDA"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(8)</w:t>
      </w:r>
      <w:r>
        <w:rPr>
          <w:rFonts w:ascii="Helvetica" w:hAnsi="Helvetica" w:cs="Helvetica"/>
          <w:color w:val="666666"/>
          <w:sz w:val="24"/>
          <w:szCs w:val="24"/>
        </w:rPr>
        <w:t> </w:t>
      </w:r>
      <w:r>
        <w:rPr>
          <w:rFonts w:ascii="Helvetica" w:hAnsi="Helvetica" w:cs="Helvetica"/>
          <w:color w:val="666666"/>
          <w:sz w:val="24"/>
          <w:szCs w:val="24"/>
        </w:rPr>
        <w:t>a suspension of a right of a particular owner before the owner has an opportunity to attend a board meeting to present the owner's position, including any defense, on the issue;</w:t>
      </w:r>
    </w:p>
    <w:p w14:paraId="3C44F24D"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(9)</w:t>
      </w:r>
      <w:r>
        <w:rPr>
          <w:rFonts w:ascii="Helvetica" w:hAnsi="Helvetica" w:cs="Helvetica"/>
          <w:color w:val="666666"/>
          <w:sz w:val="24"/>
          <w:szCs w:val="24"/>
        </w:rPr>
        <w:t> </w:t>
      </w:r>
      <w:r>
        <w:rPr>
          <w:rFonts w:ascii="Helvetica" w:hAnsi="Helvetica" w:cs="Helvetica"/>
          <w:color w:val="666666"/>
          <w:sz w:val="24"/>
          <w:szCs w:val="24"/>
        </w:rPr>
        <w:t>lending or borrowing money;</w:t>
      </w:r>
    </w:p>
    <w:p w14:paraId="3C10426C"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(10)</w:t>
      </w:r>
      <w:r>
        <w:rPr>
          <w:rFonts w:ascii="Helvetica" w:hAnsi="Helvetica" w:cs="Helvetica"/>
          <w:color w:val="666666"/>
          <w:sz w:val="24"/>
          <w:szCs w:val="24"/>
        </w:rPr>
        <w:t> </w:t>
      </w:r>
      <w:r>
        <w:rPr>
          <w:rFonts w:ascii="Helvetica" w:hAnsi="Helvetica" w:cs="Helvetica"/>
          <w:color w:val="666666"/>
          <w:sz w:val="24"/>
          <w:szCs w:val="24"/>
        </w:rPr>
        <w:t>the adoption or amendment of a dedicatory instrument;</w:t>
      </w:r>
    </w:p>
    <w:p w14:paraId="56D109E4"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(11)</w:t>
      </w:r>
      <w:r>
        <w:rPr>
          <w:rFonts w:ascii="Helvetica" w:hAnsi="Helvetica" w:cs="Helvetica"/>
          <w:color w:val="666666"/>
          <w:sz w:val="24"/>
          <w:szCs w:val="24"/>
        </w:rPr>
        <w:t> </w:t>
      </w:r>
      <w:r>
        <w:rPr>
          <w:rFonts w:ascii="Helvetica" w:hAnsi="Helvetica" w:cs="Helvetica"/>
          <w:color w:val="666666"/>
          <w:sz w:val="24"/>
          <w:szCs w:val="24"/>
        </w:rPr>
        <w:t>the approval of an annual budget or the approval of an amendment of an annual budget that increases the budget by more than 10 percent;</w:t>
      </w:r>
    </w:p>
    <w:p w14:paraId="2C7555CF"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(12)</w:t>
      </w:r>
      <w:r>
        <w:rPr>
          <w:rFonts w:ascii="Helvetica" w:hAnsi="Helvetica" w:cs="Helvetica"/>
          <w:color w:val="666666"/>
          <w:sz w:val="24"/>
          <w:szCs w:val="24"/>
        </w:rPr>
        <w:t> </w:t>
      </w:r>
      <w:r>
        <w:rPr>
          <w:rFonts w:ascii="Helvetica" w:hAnsi="Helvetica" w:cs="Helvetica"/>
          <w:color w:val="666666"/>
          <w:sz w:val="24"/>
          <w:szCs w:val="24"/>
        </w:rPr>
        <w:t>the sale or purchase of real property;</w:t>
      </w:r>
    </w:p>
    <w:p w14:paraId="2C69A1D8"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(13)</w:t>
      </w:r>
      <w:r>
        <w:rPr>
          <w:rFonts w:ascii="Helvetica" w:hAnsi="Helvetica" w:cs="Helvetica"/>
          <w:color w:val="666666"/>
          <w:sz w:val="24"/>
          <w:szCs w:val="24"/>
        </w:rPr>
        <w:t> </w:t>
      </w:r>
      <w:r>
        <w:rPr>
          <w:rFonts w:ascii="Helvetica" w:hAnsi="Helvetica" w:cs="Helvetica"/>
          <w:color w:val="666666"/>
          <w:sz w:val="24"/>
          <w:szCs w:val="24"/>
        </w:rPr>
        <w:t>the filling of a vacancy on the board;</w:t>
      </w:r>
    </w:p>
    <w:p w14:paraId="6B72A56C"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(14)</w:t>
      </w:r>
      <w:r>
        <w:rPr>
          <w:rFonts w:ascii="Helvetica" w:hAnsi="Helvetica" w:cs="Helvetica"/>
          <w:color w:val="666666"/>
          <w:sz w:val="24"/>
          <w:szCs w:val="24"/>
        </w:rPr>
        <w:t> </w:t>
      </w:r>
      <w:r>
        <w:rPr>
          <w:rFonts w:ascii="Helvetica" w:hAnsi="Helvetica" w:cs="Helvetica"/>
          <w:color w:val="666666"/>
          <w:sz w:val="24"/>
          <w:szCs w:val="24"/>
        </w:rPr>
        <w:t xml:space="preserve">the construction of capital improvements other than the repair, replacement, or enhancement of existing capital </w:t>
      </w:r>
      <w:proofErr w:type="gramStart"/>
      <w:r>
        <w:rPr>
          <w:rFonts w:ascii="Helvetica" w:hAnsi="Helvetica" w:cs="Helvetica"/>
          <w:color w:val="666666"/>
          <w:sz w:val="24"/>
          <w:szCs w:val="24"/>
        </w:rPr>
        <w:t>improvements;  or</w:t>
      </w:r>
      <w:proofErr w:type="gramEnd"/>
    </w:p>
    <w:p w14:paraId="284104CA" w14:textId="77777777" w:rsidR="00F05DB5" w:rsidRDefault="00F05DB5" w:rsidP="00F05DB5">
      <w:pPr>
        <w:pStyle w:val="NormalWeb"/>
        <w:shd w:val="clear" w:color="auto" w:fill="FFFFFF"/>
        <w:rPr>
          <w:rFonts w:ascii="Helvetica" w:hAnsi="Helvetica" w:cs="Helvetica"/>
          <w:color w:val="666666"/>
          <w:sz w:val="24"/>
          <w:szCs w:val="24"/>
        </w:rPr>
      </w:pPr>
      <w:r>
        <w:rPr>
          <w:rFonts w:ascii="Helvetica" w:hAnsi="Helvetica" w:cs="Helvetica"/>
          <w:color w:val="666666"/>
          <w:sz w:val="24"/>
          <w:szCs w:val="24"/>
        </w:rPr>
        <w:t>(15)</w:t>
      </w:r>
      <w:r>
        <w:rPr>
          <w:rFonts w:ascii="Helvetica" w:hAnsi="Helvetica" w:cs="Helvetica"/>
          <w:color w:val="666666"/>
          <w:sz w:val="24"/>
          <w:szCs w:val="24"/>
        </w:rPr>
        <w:t> </w:t>
      </w:r>
      <w:r>
        <w:rPr>
          <w:rFonts w:ascii="Helvetica" w:hAnsi="Helvetica" w:cs="Helvetica"/>
          <w:color w:val="666666"/>
          <w:sz w:val="24"/>
          <w:szCs w:val="24"/>
        </w:rPr>
        <w:t>the election of an officer.</w:t>
      </w:r>
    </w:p>
    <w:p w14:paraId="61618A3B" w14:textId="77777777" w:rsidR="00B45BB1" w:rsidRDefault="00B45BB1">
      <w:bookmarkStart w:id="0" w:name="_GoBack"/>
      <w:bookmarkEnd w:id="0"/>
    </w:p>
    <w:sectPr w:rsidR="00B45B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2NTMxNzYyAzJMTJV0lIJTi4sz8/NACgxrAX1NUXosAAAA"/>
  </w:docVars>
  <w:rsids>
    <w:rsidRoot w:val="00F05DB5"/>
    <w:rsid w:val="00B45BB1"/>
    <w:rsid w:val="00F05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0EDDE"/>
  <w15:chartTrackingRefBased/>
  <w15:docId w15:val="{15A09C6F-EDCC-4601-A5B3-EDA3B4391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5DB5"/>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5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9073CEA53A0D4DAE2991B1C38A44E1" ma:contentTypeVersion="14" ma:contentTypeDescription="Create a new document." ma:contentTypeScope="" ma:versionID="b643d3bf05af0d50f87b287626b81eef">
  <xsd:schema xmlns:xsd="http://www.w3.org/2001/XMLSchema" xmlns:xs="http://www.w3.org/2001/XMLSchema" xmlns:p="http://schemas.microsoft.com/office/2006/metadata/properties" xmlns:ns3="30e911b8-cce0-4c2c-add0-65cd1e705ae8" xmlns:ns4="1381eb15-c496-4941-8736-15cae951ddba" targetNamespace="http://schemas.microsoft.com/office/2006/metadata/properties" ma:root="true" ma:fieldsID="ef64d02ddc4abff9a9ca9d05b457fa17" ns3:_="" ns4:_="">
    <xsd:import namespace="30e911b8-cce0-4c2c-add0-65cd1e705ae8"/>
    <xsd:import namespace="1381eb15-c496-4941-8736-15cae951ddb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911b8-cce0-4c2c-add0-65cd1e705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81eb15-c496-4941-8736-15cae951ddb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D102BE-548C-4CC8-BD2C-755C87FF1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911b8-cce0-4c2c-add0-65cd1e705ae8"/>
    <ds:schemaRef ds:uri="1381eb15-c496-4941-8736-15cae951dd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E3B48-E0EF-4437-842F-933293EA5AB4}">
  <ds:schemaRefs>
    <ds:schemaRef ds:uri="http://schemas.microsoft.com/sharepoint/v3/contenttype/forms"/>
  </ds:schemaRefs>
</ds:datastoreItem>
</file>

<file path=customXml/itemProps3.xml><?xml version="1.0" encoding="utf-8"?>
<ds:datastoreItem xmlns:ds="http://schemas.openxmlformats.org/officeDocument/2006/customXml" ds:itemID="{5415A64A-0352-41DC-8C31-B8A3ED360209}">
  <ds:schemaRefs>
    <ds:schemaRef ds:uri="http://purl.org/dc/elements/1.1/"/>
    <ds:schemaRef ds:uri="http://purl.org/dc/terms/"/>
    <ds:schemaRef ds:uri="http://www.w3.org/XML/1998/namespace"/>
    <ds:schemaRef ds:uri="1381eb15-c496-4941-8736-15cae951ddba"/>
    <ds:schemaRef ds:uri="30e911b8-cce0-4c2c-add0-65cd1e705ae8"/>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UCT</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Lotero, Kurt</dc:creator>
  <cp:keywords/>
  <dc:description/>
  <cp:lastModifiedBy>Lotero, Kurt</cp:lastModifiedBy>
  <cp:revision>1</cp:revision>
  <dcterms:created xsi:type="dcterms:W3CDTF">2023-01-16T15:27:00Z</dcterms:created>
  <dcterms:modified xsi:type="dcterms:W3CDTF">2023-01-16T15:28:00Z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0x010100A19073CEA53A0D4DAE2991B1C38A44E1</vt:lpwstr>
  </property>
</Properties>
</file>